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486C0965" w14:textId="7F76EEB4" w:rsidR="00A05F30" w:rsidRPr="00537E40" w:rsidRDefault="00537E40" w:rsidP="00537E40">
      <w:pPr>
        <w:pStyle w:val="1"/>
        <w:rPr>
          <w:u w:val="single"/>
        </w:rPr>
      </w:pPr>
      <w:r w:rsidRPr="00537E40">
        <w:rPr>
          <w:u w:val="single"/>
        </w:rPr>
        <w:t>Деятельность по обращению с отходами производства и потребления</w:t>
      </w:r>
    </w:p>
    <w:p w14:paraId="4928A7E3" w14:textId="77777777" w:rsidR="00537E40" w:rsidRPr="00B67C60" w:rsidRDefault="00537E4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44F96EC3" w14:textId="77777777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Устава заявителя</w:t>
      </w:r>
    </w:p>
    <w:p w14:paraId="301B16C4" w14:textId="216773E6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 о внесении записи в Единый государственный реестр юридических лиц.</w:t>
      </w:r>
    </w:p>
    <w:p w14:paraId="1A453492" w14:textId="337FE4EF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 о постановке на учет юридического лица в налоговом органе по месту нахождения на территории Российской Федерации.</w:t>
      </w:r>
    </w:p>
    <w:p w14:paraId="6BFE96EF" w14:textId="7AA8B073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Выписки из ЕГРЮЛ (ЕГРИП)</w:t>
      </w:r>
    </w:p>
    <w:p w14:paraId="20F13D1F" w14:textId="6AAF36C1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Свидетельства, подтверждающего право собственности на здание (помещение)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,</w:t>
      </w: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предполагаемое к использованию по обращению с отходами (выписка из ЕГРН).</w:t>
      </w:r>
    </w:p>
    <w:p w14:paraId="61C2901F" w14:textId="5ED4769C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Свидетельства, подтверждающего право собственности на земельный участок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,</w:t>
      </w: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предполагаемый к использованию по обращению с отходами (выписка из ЕГРН) - для объектов размещения отходов.</w:t>
      </w:r>
    </w:p>
    <w:p w14:paraId="001FE881" w14:textId="28D3BE1B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Проекта, регламента или иного документа, отражающего соответствие намечаемой деятельности по обращению с отходами требованиям санитарного законодательства.</w:t>
      </w:r>
    </w:p>
    <w:p w14:paraId="63275E46" w14:textId="02442417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cs="Times New Roman"/>
          <w:bCs/>
          <w:szCs w:val="24"/>
        </w:rPr>
      </w:pPr>
      <w:r w:rsidRPr="006C20FA">
        <w:rPr>
          <w:rFonts w:cs="Times New Roman"/>
          <w:bCs/>
          <w:szCs w:val="24"/>
        </w:rPr>
        <w:t>Программы производственного контроля за соблюдением санитарных правил и выполнением санитарно-противоэпидемических</w:t>
      </w:r>
      <w:r>
        <w:rPr>
          <w:rFonts w:cs="Times New Roman"/>
          <w:bCs/>
          <w:szCs w:val="24"/>
        </w:rPr>
        <w:t xml:space="preserve"> </w:t>
      </w:r>
      <w:r w:rsidRPr="006C20FA">
        <w:rPr>
          <w:rFonts w:cs="Times New Roman"/>
          <w:bCs/>
          <w:szCs w:val="24"/>
        </w:rPr>
        <w:t xml:space="preserve">мероприятий. </w:t>
      </w:r>
    </w:p>
    <w:p w14:paraId="78589339" w14:textId="45914997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Протоколов по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</w:t>
      </w: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>определению класса опасности отходов на здоровье человека по СП 2.1.7.1386-03.</w:t>
      </w:r>
    </w:p>
    <w:p w14:paraId="7914DA3B" w14:textId="7810FF13" w:rsidR="006C20FA" w:rsidRPr="006C20FA" w:rsidRDefault="006C20FA" w:rsidP="006C20FA">
      <w:pPr>
        <w:pStyle w:val="a7"/>
        <w:numPr>
          <w:ilvl w:val="0"/>
          <w:numId w:val="6"/>
        </w:numPr>
        <w:shd w:val="clear" w:color="auto" w:fill="FFFFFF"/>
        <w:ind w:left="284" w:hanging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Для объектов размещения отходов дополнительно: </w:t>
      </w:r>
    </w:p>
    <w:p w14:paraId="2320550E" w14:textId="14E9DC25" w:rsidR="006C20FA" w:rsidRDefault="006C20FA" w:rsidP="006C20FA">
      <w:pPr>
        <w:shd w:val="clear" w:color="auto" w:fill="FFFFFF"/>
        <w:ind w:left="284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10.1. Сведений по установленной санитарно-защитной зоне объекта размещения отходов. </w:t>
      </w:r>
    </w:p>
    <w:p w14:paraId="3004F242" w14:textId="6367E09A" w:rsidR="006C20FA" w:rsidRDefault="006C20FA" w:rsidP="006C20FA">
      <w:pPr>
        <w:shd w:val="clear" w:color="auto" w:fill="FFFFFF"/>
        <w:ind w:left="284"/>
        <w:rPr>
          <w:rFonts w:ascii="OpenSans" w:hAnsi="OpenSans" w:cs="OpenSans"/>
          <w:szCs w:val="24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10.2. </w:t>
      </w:r>
      <w:r>
        <w:rPr>
          <w:rFonts w:ascii="OpenSans" w:hAnsi="OpenSans" w:cs="OpenSans"/>
          <w:szCs w:val="24"/>
        </w:rPr>
        <w:t xml:space="preserve">Положительного заключения государственной экологической экспертизы </w:t>
      </w:r>
    </w:p>
    <w:p w14:paraId="48CEAC50" w14:textId="77777777" w:rsidR="006C20FA" w:rsidRDefault="006C20FA" w:rsidP="006C20FA">
      <w:pPr>
        <w:shd w:val="clear" w:color="auto" w:fill="FFFFFF"/>
        <w:ind w:left="284"/>
        <w:rPr>
          <w:rFonts w:ascii="OpenSans" w:hAnsi="OpenSans" w:cs="OpenSans"/>
          <w:szCs w:val="24"/>
        </w:rPr>
      </w:pPr>
      <w:r>
        <w:rPr>
          <w:rFonts w:ascii="OpenSans" w:hAnsi="OpenSans" w:cs="OpenSans"/>
          <w:szCs w:val="24"/>
        </w:rPr>
        <w:t>10.3. Для полигонов ТКО - регламента работы полигона, инструкции по приему ТКО, перечня принимаемых отходов.</w:t>
      </w:r>
    </w:p>
    <w:p w14:paraId="346B6E6A" w14:textId="25835457" w:rsidR="006C20FA" w:rsidRDefault="006C20FA" w:rsidP="006C20FA">
      <w:pPr>
        <w:shd w:val="clear" w:color="auto" w:fill="FFFFFF"/>
        <w:spacing w:before="75"/>
        <w:rPr>
          <w:rFonts w:cs="Times New Roman"/>
          <w:szCs w:val="24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11. </w:t>
      </w:r>
      <w:r w:rsidRPr="006C20FA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По транспортированию отходов I - IV классов опасности дополнительно: </w:t>
      </w:r>
      <w:r>
        <w:rPr>
          <w:rFonts w:cs="Times New Roman"/>
          <w:szCs w:val="24"/>
        </w:rPr>
        <w:t xml:space="preserve">ПТС на </w:t>
      </w:r>
      <w:r w:rsidRPr="006E5084">
        <w:rPr>
          <w:rFonts w:cs="Times New Roman"/>
          <w:szCs w:val="24"/>
        </w:rPr>
        <w:t>транспортны</w:t>
      </w:r>
      <w:r>
        <w:rPr>
          <w:rFonts w:cs="Times New Roman"/>
          <w:szCs w:val="24"/>
        </w:rPr>
        <w:t>е</w:t>
      </w:r>
      <w:r w:rsidRPr="006E5084">
        <w:rPr>
          <w:rFonts w:cs="Times New Roman"/>
          <w:szCs w:val="24"/>
        </w:rPr>
        <w:t xml:space="preserve"> средств</w:t>
      </w:r>
      <w:r>
        <w:rPr>
          <w:rFonts w:cs="Times New Roman"/>
          <w:szCs w:val="24"/>
        </w:rPr>
        <w:t>а</w:t>
      </w:r>
      <w:r w:rsidRPr="006E5084">
        <w:rPr>
          <w:rFonts w:cs="Times New Roman"/>
          <w:szCs w:val="24"/>
        </w:rPr>
        <w:t>, принадлежащи</w:t>
      </w:r>
      <w:r>
        <w:rPr>
          <w:rFonts w:cs="Times New Roman"/>
          <w:szCs w:val="24"/>
        </w:rPr>
        <w:t>е</w:t>
      </w:r>
      <w:r w:rsidRPr="006E508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объекту</w:t>
      </w:r>
      <w:r w:rsidRPr="006E5084">
        <w:rPr>
          <w:rFonts w:cs="Times New Roman"/>
          <w:szCs w:val="24"/>
        </w:rPr>
        <w:t xml:space="preserve"> на праве собственности или ином законном основании</w:t>
      </w:r>
      <w:r>
        <w:rPr>
          <w:rFonts w:cs="Times New Roman"/>
          <w:szCs w:val="24"/>
        </w:rPr>
        <w:t>.</w:t>
      </w:r>
      <w:r w:rsidRPr="006E5084">
        <w:rPr>
          <w:rFonts w:cs="Times New Roman"/>
          <w:szCs w:val="24"/>
        </w:rPr>
        <w:t xml:space="preserve"> 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34C46202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отделением коммунальной гигиены и гигиены труда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6BCAB05B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Богданов Ю.А.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F623C7" w:rsidRPr="008B40FA" w14:paraId="3E05CB16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6AE3080C" w14:textId="77777777" w:rsidR="00F623C7" w:rsidRPr="008B40FA" w:rsidRDefault="00F623C7" w:rsidP="00F623C7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2B8B41D" w14:textId="6230097F" w:rsidR="00F623C7" w:rsidRPr="008B40FA" w:rsidRDefault="00F623C7" w:rsidP="00CB1E5C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CB1E5C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22E28AD6" w14:textId="77777777" w:rsidR="00F623C7" w:rsidRDefault="00F623C7" w:rsidP="00F623C7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CB1E5C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CB1E5C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67F50676" w14:textId="7BECD86A" w:rsidR="00F623C7" w:rsidRPr="008B40FA" w:rsidRDefault="00F623C7" w:rsidP="00CB1E5C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CB1E5C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F623C7" w:rsidRPr="008B40FA" w14:paraId="4388FFB4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7F4CEC3F" w14:textId="77777777" w:rsidR="00F623C7" w:rsidRPr="008B40FA" w:rsidRDefault="00F623C7" w:rsidP="00F623C7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4510243F" w14:textId="77777777" w:rsidR="00F623C7" w:rsidRDefault="00F623C7" w:rsidP="00F623C7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174B6C5E" w14:textId="77777777" w:rsidR="00F623C7" w:rsidRPr="008B40FA" w:rsidRDefault="00F623C7" w:rsidP="00F623C7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F623C7" w:rsidRPr="008B40FA" w14:paraId="5CD88FE9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79C68703" w14:textId="77777777" w:rsidR="00F623C7" w:rsidRPr="008B40FA" w:rsidRDefault="00F623C7" w:rsidP="00F623C7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0366A23" w14:textId="77777777" w:rsidR="00F623C7" w:rsidRDefault="00F623C7" w:rsidP="00F623C7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529297DB" w14:textId="77777777" w:rsidR="00F623C7" w:rsidRPr="008B40FA" w:rsidRDefault="00F623C7" w:rsidP="00F623C7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C6530"/>
    <w:multiLevelType w:val="hybridMultilevel"/>
    <w:tmpl w:val="51DC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375C4D"/>
    <w:rsid w:val="003C232B"/>
    <w:rsid w:val="003E3613"/>
    <w:rsid w:val="00537E40"/>
    <w:rsid w:val="005A3A0D"/>
    <w:rsid w:val="006474E8"/>
    <w:rsid w:val="006C20FA"/>
    <w:rsid w:val="007E5FAA"/>
    <w:rsid w:val="00843C68"/>
    <w:rsid w:val="008C4E7F"/>
    <w:rsid w:val="009018B0"/>
    <w:rsid w:val="00A05F30"/>
    <w:rsid w:val="00CB1E5C"/>
    <w:rsid w:val="00DC37E5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6C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6C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6</cp:revision>
  <dcterms:created xsi:type="dcterms:W3CDTF">2024-04-04T08:00:00Z</dcterms:created>
  <dcterms:modified xsi:type="dcterms:W3CDTF">2024-06-04T10:21:00Z</dcterms:modified>
</cp:coreProperties>
</file>